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97" w:rsidRDefault="00070757">
      <w:pPr>
        <w:tabs>
          <w:tab w:val="left" w:pos="1746"/>
        </w:tabs>
        <w:ind w:left="33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E76D97" w:rsidRDefault="00E76D97">
      <w:pPr>
        <w:pStyle w:val="Textoindependiente"/>
        <w:spacing w:before="3"/>
        <w:rPr>
          <w:rFonts w:ascii="Times New Roman"/>
          <w:sz w:val="12"/>
        </w:rPr>
      </w:pPr>
    </w:p>
    <w:p w:rsidR="00E76D97" w:rsidRDefault="009339AD">
      <w:pPr>
        <w:pStyle w:val="Ttulo"/>
      </w:pPr>
      <w:bookmarkStart w:id="0" w:name="_GoBack"/>
      <w:r>
        <w:t>PROCESO DE EVALUACIÓN POR PARES</w:t>
      </w:r>
      <w:bookmarkEnd w:id="0"/>
    </w:p>
    <w:p w:rsidR="00E76D97" w:rsidRDefault="00E76D97">
      <w:pPr>
        <w:pStyle w:val="Textoindependiente"/>
        <w:spacing w:before="7"/>
        <w:rPr>
          <w:b/>
          <w:sz w:val="21"/>
        </w:rPr>
      </w:pPr>
    </w:p>
    <w:p w:rsidR="009339AD" w:rsidRDefault="009339AD">
      <w:pPr>
        <w:pStyle w:val="Textoindependiente"/>
        <w:spacing w:before="7"/>
        <w:rPr>
          <w:b/>
          <w:sz w:val="21"/>
        </w:rPr>
      </w:pPr>
    </w:p>
    <w:p w:rsidR="00E76D97" w:rsidRDefault="00070757">
      <w:pPr>
        <w:pStyle w:val="Textoindependiente"/>
        <w:spacing w:before="1" w:line="237" w:lineRule="auto"/>
        <w:ind w:left="119" w:right="119"/>
        <w:jc w:val="both"/>
        <w:rPr>
          <w:sz w:val="23"/>
        </w:rPr>
      </w:pPr>
      <w:r>
        <w:t>El proceso de evaluación de los artículos postulados a la revista UD y la GEOMATICA se socializa a continuación</w:t>
      </w:r>
      <w:r>
        <w:rPr>
          <w:sz w:val="23"/>
        </w:rPr>
        <w:t>:</w:t>
      </w:r>
    </w:p>
    <w:p w:rsidR="00E76D97" w:rsidRDefault="00070757">
      <w:pPr>
        <w:pStyle w:val="Textoindependiente"/>
        <w:spacing w:before="2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3103452</wp:posOffset>
            </wp:positionH>
            <wp:positionV relativeFrom="paragraph">
              <wp:posOffset>194601</wp:posOffset>
            </wp:positionV>
            <wp:extent cx="1586234" cy="45624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34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D97" w:rsidRDefault="00E76D97">
      <w:pPr>
        <w:pStyle w:val="Textoindependiente"/>
        <w:rPr>
          <w:sz w:val="25"/>
        </w:rPr>
      </w:pPr>
    </w:p>
    <w:p w:rsidR="00E76D97" w:rsidRDefault="00070757">
      <w:pPr>
        <w:pStyle w:val="Textoindependiente"/>
        <w:spacing w:line="237" w:lineRule="auto"/>
        <w:ind w:left="98" w:right="113"/>
        <w:jc w:val="center"/>
      </w:pPr>
      <w:r>
        <w:t>Fuente: Revista UD y la GEOMATICA. Facultad de Ingeniería. Universidad Distrital Francisco José de Caldas</w:t>
      </w:r>
    </w:p>
    <w:p w:rsidR="00E76D97" w:rsidRDefault="00E76D97">
      <w:pPr>
        <w:pStyle w:val="Textoindependiente"/>
        <w:spacing w:before="7"/>
        <w:rPr>
          <w:sz w:val="23"/>
        </w:rPr>
      </w:pPr>
    </w:p>
    <w:p w:rsidR="00E76D97" w:rsidRDefault="00070757">
      <w:pPr>
        <w:pStyle w:val="Textoindependiente"/>
        <w:spacing w:before="1"/>
        <w:ind w:left="119" w:right="113"/>
        <w:jc w:val="both"/>
      </w:pPr>
      <w:r>
        <w:rPr>
          <w:b/>
        </w:rPr>
        <w:t>Recepción de artículos</w:t>
      </w:r>
      <w:r>
        <w:t>: Se revisa que el artículo cumpla con los requisitos de presentación que establece la revista. Si el artículo no cumple con la</w:t>
      </w:r>
      <w:r>
        <w:t xml:space="preserve">s condiciones de presentación se enviará un correo a los autores notificando que el artículo no está en las condiciones establecidas para ser recibido, en cambio si el artículo presenta las condiciones de presentación de la revista se </w:t>
      </w:r>
      <w:r w:rsidR="009339AD">
        <w:t>notificará</w:t>
      </w:r>
      <w:r>
        <w:t xml:space="preserve"> a los auto</w:t>
      </w:r>
      <w:r>
        <w:t xml:space="preserve">res el recibido del artículo. </w:t>
      </w:r>
    </w:p>
    <w:p w:rsidR="00E76D97" w:rsidRDefault="00E76D97">
      <w:pPr>
        <w:jc w:val="both"/>
        <w:sectPr w:rsidR="00E76D97" w:rsidSect="009339AD">
          <w:headerReference w:type="default" r:id="rId8"/>
          <w:footerReference w:type="default" r:id="rId9"/>
          <w:type w:val="continuous"/>
          <w:pgSz w:w="12240" w:h="15840"/>
          <w:pgMar w:top="740" w:right="1580" w:bottom="280" w:left="1580" w:header="720" w:footer="720" w:gutter="0"/>
          <w:cols w:space="720"/>
        </w:sectPr>
      </w:pPr>
    </w:p>
    <w:p w:rsidR="00E76D97" w:rsidRDefault="00070757">
      <w:pPr>
        <w:tabs>
          <w:tab w:val="left" w:pos="1746"/>
        </w:tabs>
        <w:ind w:left="333"/>
        <w:rPr>
          <w:sz w:val="20"/>
        </w:rPr>
      </w:pPr>
      <w:r>
        <w:rPr>
          <w:sz w:val="20"/>
        </w:rPr>
        <w:lastRenderedPageBreak/>
        <w:tab/>
      </w:r>
    </w:p>
    <w:p w:rsidR="009339AD" w:rsidRDefault="009339AD">
      <w:pPr>
        <w:pStyle w:val="Textoindependiente"/>
        <w:spacing w:line="242" w:lineRule="auto"/>
        <w:ind w:left="119" w:right="114"/>
        <w:jc w:val="both"/>
        <w:rPr>
          <w:b/>
        </w:rPr>
      </w:pPr>
    </w:p>
    <w:p w:rsidR="00E76D97" w:rsidRDefault="00070757">
      <w:pPr>
        <w:pStyle w:val="Textoindependiente"/>
        <w:spacing w:line="242" w:lineRule="auto"/>
        <w:ind w:left="119" w:right="114"/>
        <w:jc w:val="both"/>
      </w:pPr>
      <w:r>
        <w:rPr>
          <w:b/>
        </w:rPr>
        <w:t xml:space="preserve">Revisión </w:t>
      </w:r>
      <w:r w:rsidR="009339AD">
        <w:rPr>
          <w:b/>
        </w:rPr>
        <w:t>del editor</w:t>
      </w:r>
      <w:r>
        <w:t xml:space="preserve">: Los artículos recibidos se </w:t>
      </w:r>
      <w:r w:rsidR="009339AD">
        <w:t>enviarán</w:t>
      </w:r>
      <w:r>
        <w:t xml:space="preserve"> al Comité Editorial quien revis</w:t>
      </w:r>
      <w:r>
        <w:t xml:space="preserve">ará el contenido y pertinencia del trabajo de acuerdo con la temática de la revista. Si el concepto del Comité no es favorable se comunicará a los autores que el artículo no es aceptado por los argumentos que se anexan en el formato de revisión, en cambio </w:t>
      </w:r>
      <w:r>
        <w:t>los artículos que recibieron la aprobación del Comité Editorial inicia el proceso de evaluación.</w:t>
      </w:r>
    </w:p>
    <w:p w:rsidR="00E76D97" w:rsidRDefault="00E76D97">
      <w:pPr>
        <w:pStyle w:val="Textoindependiente"/>
        <w:spacing w:before="3"/>
        <w:rPr>
          <w:sz w:val="22"/>
        </w:rPr>
      </w:pPr>
    </w:p>
    <w:p w:rsidR="00E76D97" w:rsidRDefault="009339AD">
      <w:pPr>
        <w:pStyle w:val="Textoindependiente"/>
        <w:ind w:left="119" w:right="116"/>
        <w:jc w:val="both"/>
      </w:pPr>
      <w:r>
        <w:rPr>
          <w:b/>
        </w:rPr>
        <w:t>Asignación de pares e</w:t>
      </w:r>
      <w:r w:rsidR="00070757">
        <w:rPr>
          <w:b/>
        </w:rPr>
        <w:t>valuadores</w:t>
      </w:r>
      <w:r w:rsidR="00070757">
        <w:t xml:space="preserve">: Se </w:t>
      </w:r>
      <w:r>
        <w:t>enviarán</w:t>
      </w:r>
      <w:r w:rsidR="00070757">
        <w:t xml:space="preserve"> invitaciones a los árbitros sugeridos por el Comité Editorial. Los autores comunicaran dos </w:t>
      </w:r>
      <w:r>
        <w:t>posibles evaluadores</w:t>
      </w:r>
      <w:r w:rsidR="00070757">
        <w:t xml:space="preserve"> qu</w:t>
      </w:r>
      <w:r w:rsidR="00070757">
        <w:t xml:space="preserve">e cumplan las siguientes condiciones (relacionar la información completa del contacto en </w:t>
      </w:r>
      <w:proofErr w:type="spellStart"/>
      <w:r w:rsidR="00070757">
        <w:t>el</w:t>
      </w:r>
      <w:proofErr w:type="spellEnd"/>
      <w:r w:rsidR="00070757">
        <w:t xml:space="preserve"> envió del artículo):</w:t>
      </w:r>
    </w:p>
    <w:p w:rsidR="00E76D97" w:rsidRDefault="00E76D97">
      <w:pPr>
        <w:pStyle w:val="Textoindependiente"/>
        <w:spacing w:before="3"/>
      </w:pPr>
    </w:p>
    <w:p w:rsidR="00E76D97" w:rsidRDefault="009339AD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left"/>
        <w:rPr>
          <w:sz w:val="24"/>
        </w:rPr>
      </w:pPr>
      <w:r>
        <w:rPr>
          <w:sz w:val="24"/>
        </w:rPr>
        <w:t>Título</w:t>
      </w:r>
      <w:r w:rsidR="00070757">
        <w:rPr>
          <w:sz w:val="24"/>
        </w:rPr>
        <w:t xml:space="preserve"> de</w:t>
      </w:r>
      <w:r w:rsidR="00070757">
        <w:rPr>
          <w:spacing w:val="-1"/>
          <w:sz w:val="24"/>
        </w:rPr>
        <w:t xml:space="preserve"> </w:t>
      </w:r>
      <w:r w:rsidR="00070757">
        <w:rPr>
          <w:sz w:val="24"/>
        </w:rPr>
        <w:t>maestría</w:t>
      </w:r>
    </w:p>
    <w:p w:rsidR="00E76D97" w:rsidRDefault="00070757">
      <w:pPr>
        <w:pStyle w:val="Prrafodelista"/>
        <w:numPr>
          <w:ilvl w:val="0"/>
          <w:numId w:val="1"/>
        </w:numPr>
        <w:tabs>
          <w:tab w:val="left" w:pos="841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Preferiblemente tener una institución diferente a la de los</w:t>
      </w:r>
      <w:r>
        <w:rPr>
          <w:spacing w:val="-21"/>
          <w:sz w:val="24"/>
        </w:rPr>
        <w:t xml:space="preserve"> </w:t>
      </w:r>
      <w:r>
        <w:rPr>
          <w:sz w:val="24"/>
        </w:rPr>
        <w:t>autores</w:t>
      </w:r>
    </w:p>
    <w:p w:rsidR="00E76D97" w:rsidRDefault="00070757">
      <w:pPr>
        <w:pStyle w:val="Prrafodelista"/>
        <w:numPr>
          <w:ilvl w:val="0"/>
          <w:numId w:val="1"/>
        </w:numPr>
        <w:tabs>
          <w:tab w:val="left" w:pos="8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Tener publicaciones en los últimos tres</w:t>
      </w:r>
      <w:r>
        <w:rPr>
          <w:spacing w:val="-14"/>
          <w:sz w:val="24"/>
        </w:rPr>
        <w:t xml:space="preserve"> </w:t>
      </w:r>
      <w:r>
        <w:rPr>
          <w:sz w:val="24"/>
        </w:rPr>
        <w:t>años</w:t>
      </w:r>
    </w:p>
    <w:p w:rsidR="00E76D97" w:rsidRDefault="00E76D97">
      <w:pPr>
        <w:pStyle w:val="Textoindependiente"/>
        <w:spacing w:before="6"/>
        <w:rPr>
          <w:sz w:val="23"/>
        </w:rPr>
      </w:pPr>
    </w:p>
    <w:p w:rsidR="00E76D97" w:rsidRDefault="00070757">
      <w:pPr>
        <w:pStyle w:val="Textoindependiente"/>
        <w:spacing w:line="242" w:lineRule="auto"/>
        <w:ind w:left="119" w:right="113"/>
        <w:jc w:val="both"/>
      </w:pPr>
      <w:r>
        <w:rPr>
          <w:b/>
        </w:rPr>
        <w:t>Retroalimentación de las evaluaciones</w:t>
      </w:r>
      <w:r>
        <w:t xml:space="preserve">: Los revisores no conocen </w:t>
      </w:r>
      <w:proofErr w:type="gramStart"/>
      <w:r>
        <w:t>el  nombre</w:t>
      </w:r>
      <w:proofErr w:type="gramEnd"/>
      <w:r>
        <w:t xml:space="preserve"> del (los) autor(es) y tiene un tiempo </w:t>
      </w:r>
      <w:r>
        <w:rPr>
          <w:spacing w:val="-3"/>
        </w:rPr>
        <w:t xml:space="preserve">máximo </w:t>
      </w:r>
      <w:r>
        <w:t xml:space="preserve">de enviar </w:t>
      </w:r>
      <w:r>
        <w:rPr>
          <w:spacing w:val="3"/>
        </w:rPr>
        <w:t xml:space="preserve">las </w:t>
      </w:r>
      <w:r>
        <w:t xml:space="preserve">evaluaciones de 25 días hábiles. </w:t>
      </w:r>
      <w:r w:rsidR="009339AD">
        <w:t>Igualmente,</w:t>
      </w:r>
      <w:r>
        <w:t xml:space="preserve"> los autores no saben el nombre de los revisores siendo un sistema de evaluació</w:t>
      </w:r>
      <w:r>
        <w:t>n doble</w:t>
      </w:r>
      <w:r>
        <w:rPr>
          <w:spacing w:val="-3"/>
        </w:rPr>
        <w:t xml:space="preserve"> </w:t>
      </w:r>
      <w:r>
        <w:t>ciego.</w:t>
      </w:r>
    </w:p>
    <w:p w:rsidR="00E76D97" w:rsidRDefault="00E76D97">
      <w:pPr>
        <w:pStyle w:val="Textoindependiente"/>
        <w:spacing w:before="8"/>
        <w:rPr>
          <w:sz w:val="23"/>
        </w:rPr>
      </w:pPr>
    </w:p>
    <w:p w:rsidR="00E76D97" w:rsidRDefault="00070757">
      <w:pPr>
        <w:pStyle w:val="Textoindependiente"/>
        <w:ind w:left="119" w:right="117"/>
        <w:jc w:val="both"/>
      </w:pPr>
      <w:r>
        <w:t>De acuerdo con los resultados de la primera ronda de evaluaciones se puede presentar:</w:t>
      </w:r>
    </w:p>
    <w:p w:rsidR="00E76D97" w:rsidRDefault="00E76D97">
      <w:pPr>
        <w:pStyle w:val="Textoindependiente"/>
        <w:rPr>
          <w:sz w:val="26"/>
        </w:rPr>
      </w:pPr>
    </w:p>
    <w:p w:rsidR="00E76D97" w:rsidRDefault="00E76D97">
      <w:pPr>
        <w:pStyle w:val="Textoindependiente"/>
        <w:spacing w:before="1"/>
        <w:rPr>
          <w:sz w:val="22"/>
        </w:rPr>
      </w:pPr>
    </w:p>
    <w:p w:rsidR="00E76D97" w:rsidRDefault="00070757">
      <w:pPr>
        <w:pStyle w:val="Prrafodelista"/>
        <w:numPr>
          <w:ilvl w:val="0"/>
          <w:numId w:val="1"/>
        </w:numPr>
        <w:tabs>
          <w:tab w:val="left" w:pos="841"/>
        </w:tabs>
        <w:ind w:right="114"/>
        <w:rPr>
          <w:sz w:val="24"/>
        </w:rPr>
      </w:pPr>
      <w:r>
        <w:rPr>
          <w:sz w:val="24"/>
        </w:rPr>
        <w:t xml:space="preserve">Si las evaluaciones presentan un consenso y aprueban el artículo con modificaciones, </w:t>
      </w:r>
      <w:r>
        <w:rPr>
          <w:spacing w:val="-3"/>
          <w:sz w:val="24"/>
        </w:rPr>
        <w:t xml:space="preserve">se </w:t>
      </w:r>
      <w:r>
        <w:rPr>
          <w:sz w:val="24"/>
        </w:rPr>
        <w:t xml:space="preserve">enviará al o a los autores las revisiones para que realicen los </w:t>
      </w:r>
      <w:r>
        <w:rPr>
          <w:sz w:val="24"/>
        </w:rPr>
        <w:t xml:space="preserve">cambios en un </w:t>
      </w:r>
      <w:r>
        <w:rPr>
          <w:spacing w:val="-2"/>
          <w:sz w:val="24"/>
        </w:rPr>
        <w:t xml:space="preserve">tiempo </w:t>
      </w:r>
      <w:r w:rsidR="009339AD">
        <w:rPr>
          <w:sz w:val="24"/>
        </w:rPr>
        <w:t>máximo de 10</w:t>
      </w:r>
      <w:r>
        <w:rPr>
          <w:sz w:val="24"/>
        </w:rPr>
        <w:t xml:space="preserve"> días</w:t>
      </w:r>
      <w:r>
        <w:rPr>
          <w:spacing w:val="1"/>
          <w:sz w:val="24"/>
        </w:rPr>
        <w:t xml:space="preserve"> </w:t>
      </w:r>
      <w:r>
        <w:rPr>
          <w:sz w:val="24"/>
        </w:rPr>
        <w:t>hábiles.</w:t>
      </w:r>
    </w:p>
    <w:p w:rsidR="00E76D97" w:rsidRDefault="00E76D97">
      <w:pPr>
        <w:pStyle w:val="Textoindependiente"/>
      </w:pPr>
    </w:p>
    <w:p w:rsidR="00E76D97" w:rsidRDefault="00070757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4"/>
        <w:rPr>
          <w:sz w:val="24"/>
        </w:rPr>
      </w:pPr>
      <w:r>
        <w:rPr>
          <w:sz w:val="24"/>
        </w:rPr>
        <w:t xml:space="preserve">Se revisará los cambios realizados de acuerdo con las sugerencias de los pares evaluadores, </w:t>
      </w:r>
      <w:r>
        <w:rPr>
          <w:spacing w:val="-3"/>
          <w:sz w:val="24"/>
        </w:rPr>
        <w:t xml:space="preserve">si </w:t>
      </w:r>
      <w:r>
        <w:rPr>
          <w:sz w:val="24"/>
        </w:rPr>
        <w:t xml:space="preserve">todos los comentarios están </w:t>
      </w:r>
      <w:proofErr w:type="gramStart"/>
      <w:r>
        <w:rPr>
          <w:sz w:val="24"/>
        </w:rPr>
        <w:t>justificado</w:t>
      </w:r>
      <w:proofErr w:type="gramEnd"/>
      <w:r>
        <w:rPr>
          <w:sz w:val="24"/>
        </w:rPr>
        <w:t xml:space="preserve"> en la nueva versión del articulo y/o en la carta de respuesta se </w:t>
      </w:r>
      <w:r w:rsidR="009339AD">
        <w:rPr>
          <w:sz w:val="24"/>
        </w:rPr>
        <w:t>solicitara a los revisores</w:t>
      </w:r>
      <w:r>
        <w:rPr>
          <w:sz w:val="24"/>
        </w:rPr>
        <w:t xml:space="preserve"> un segundo concepto o una segunda ronda si llega a ser necesario. En caso contrario se enviará un correo notificando que la nueva versión no es aceptada porque la totalidad de las observaciones no fueron justificadas en el nuevo artí</w:t>
      </w:r>
      <w:r>
        <w:rPr>
          <w:sz w:val="24"/>
        </w:rPr>
        <w:t>culo o en la carta de</w:t>
      </w:r>
      <w:r>
        <w:rPr>
          <w:spacing w:val="-20"/>
          <w:sz w:val="24"/>
        </w:rPr>
        <w:t xml:space="preserve"> </w:t>
      </w:r>
      <w:r>
        <w:rPr>
          <w:sz w:val="24"/>
        </w:rPr>
        <w:t>respuesta.</w:t>
      </w:r>
    </w:p>
    <w:p w:rsidR="00E76D97" w:rsidRDefault="00E76D97">
      <w:pPr>
        <w:pStyle w:val="Textoindependiente"/>
        <w:spacing w:before="7"/>
        <w:rPr>
          <w:sz w:val="23"/>
        </w:rPr>
      </w:pPr>
    </w:p>
    <w:p w:rsidR="00E76D97" w:rsidRDefault="00070757">
      <w:pPr>
        <w:pStyle w:val="Textoindependiente"/>
        <w:ind w:left="825" w:right="123"/>
        <w:jc w:val="both"/>
      </w:pPr>
      <w:r w:rsidRPr="009339AD">
        <w:rPr>
          <w:i/>
        </w:rPr>
        <w:t>Nota:</w:t>
      </w:r>
      <w:r>
        <w:t xml:space="preserve"> cuando los autores no estén de acuerdo con una o varias sugerencias de las evaluaciones, deberán enviar una carta que sustente las </w:t>
      </w:r>
      <w:r>
        <w:rPr>
          <w:spacing w:val="-2"/>
        </w:rPr>
        <w:t xml:space="preserve">mismas </w:t>
      </w:r>
      <w:r>
        <w:t>para ser presentado al comité</w:t>
      </w:r>
      <w:r>
        <w:rPr>
          <w:spacing w:val="4"/>
        </w:rPr>
        <w:t xml:space="preserve"> </w:t>
      </w:r>
      <w:r>
        <w:t>editorial.</w:t>
      </w:r>
    </w:p>
    <w:p w:rsidR="00E76D97" w:rsidRDefault="00E76D97">
      <w:pPr>
        <w:pStyle w:val="Textoindependiente"/>
      </w:pPr>
    </w:p>
    <w:p w:rsidR="00E76D97" w:rsidRDefault="00070757">
      <w:pPr>
        <w:pStyle w:val="Prrafodelista"/>
        <w:numPr>
          <w:ilvl w:val="0"/>
          <w:numId w:val="1"/>
        </w:numPr>
        <w:tabs>
          <w:tab w:val="left" w:pos="841"/>
        </w:tabs>
        <w:spacing w:before="1" w:line="242" w:lineRule="auto"/>
        <w:ind w:right="119"/>
        <w:rPr>
          <w:sz w:val="24"/>
        </w:rPr>
      </w:pPr>
      <w:r>
        <w:rPr>
          <w:sz w:val="24"/>
        </w:rPr>
        <w:t xml:space="preserve">De acuerdo con el desarrollo del proceso de evaluación del artículo puede existir </w:t>
      </w:r>
      <w:r>
        <w:rPr>
          <w:spacing w:val="-3"/>
          <w:sz w:val="24"/>
        </w:rPr>
        <w:t xml:space="preserve">más </w:t>
      </w:r>
      <w:r>
        <w:rPr>
          <w:sz w:val="24"/>
        </w:rPr>
        <w:t>de dos rondas de</w:t>
      </w:r>
      <w:r>
        <w:rPr>
          <w:spacing w:val="-6"/>
          <w:sz w:val="24"/>
        </w:rPr>
        <w:t xml:space="preserve"> </w:t>
      </w:r>
      <w:r>
        <w:rPr>
          <w:sz w:val="24"/>
        </w:rPr>
        <w:t>evaluación.</w:t>
      </w:r>
    </w:p>
    <w:p w:rsidR="00E76D97" w:rsidRDefault="00E76D97">
      <w:pPr>
        <w:spacing w:line="242" w:lineRule="auto"/>
        <w:jc w:val="both"/>
        <w:rPr>
          <w:sz w:val="24"/>
        </w:rPr>
        <w:sectPr w:rsidR="00E76D97">
          <w:pgSz w:w="12240" w:h="15840"/>
          <w:pgMar w:top="740" w:right="1580" w:bottom="280" w:left="1580" w:header="720" w:footer="720" w:gutter="0"/>
          <w:cols w:space="720"/>
        </w:sectPr>
      </w:pPr>
    </w:p>
    <w:p w:rsidR="00E76D97" w:rsidRDefault="00070757">
      <w:pPr>
        <w:tabs>
          <w:tab w:val="left" w:pos="1746"/>
        </w:tabs>
        <w:ind w:left="333"/>
        <w:rPr>
          <w:sz w:val="20"/>
        </w:rPr>
      </w:pPr>
      <w:r>
        <w:rPr>
          <w:sz w:val="20"/>
        </w:rPr>
        <w:lastRenderedPageBreak/>
        <w:tab/>
      </w:r>
    </w:p>
    <w:p w:rsidR="00E76D97" w:rsidRDefault="00070757">
      <w:pPr>
        <w:pStyle w:val="Prrafodelista"/>
        <w:numPr>
          <w:ilvl w:val="0"/>
          <w:numId w:val="1"/>
        </w:numPr>
        <w:tabs>
          <w:tab w:val="left" w:pos="841"/>
        </w:tabs>
        <w:ind w:right="120"/>
        <w:rPr>
          <w:sz w:val="24"/>
        </w:rPr>
      </w:pPr>
      <w:r>
        <w:rPr>
          <w:sz w:val="24"/>
        </w:rPr>
        <w:t>Si un evaluador rechaza el artículo y el otro lo acepta (con o sin modificaciones), será enviado a un tercer evaluador experto en el tema, que sin saberlo dirimirá la aprobación o no del artículo en la</w:t>
      </w:r>
      <w:r>
        <w:rPr>
          <w:spacing w:val="-15"/>
          <w:sz w:val="24"/>
        </w:rPr>
        <w:t xml:space="preserve"> </w:t>
      </w:r>
      <w:r>
        <w:rPr>
          <w:sz w:val="24"/>
        </w:rPr>
        <w:t>revista.</w:t>
      </w:r>
    </w:p>
    <w:p w:rsidR="00E76D97" w:rsidRDefault="00E76D97">
      <w:pPr>
        <w:pStyle w:val="Textoindependiente"/>
        <w:rPr>
          <w:sz w:val="26"/>
        </w:rPr>
      </w:pPr>
    </w:p>
    <w:p w:rsidR="00E76D97" w:rsidRDefault="00E76D97">
      <w:pPr>
        <w:pStyle w:val="Textoindependiente"/>
        <w:spacing w:before="7"/>
        <w:rPr>
          <w:sz w:val="21"/>
        </w:rPr>
      </w:pPr>
    </w:p>
    <w:p w:rsidR="00E76D97" w:rsidRDefault="00070757">
      <w:pPr>
        <w:spacing w:before="1" w:line="242" w:lineRule="auto"/>
        <w:ind w:left="119" w:right="117"/>
        <w:jc w:val="both"/>
        <w:rPr>
          <w:sz w:val="24"/>
        </w:rPr>
      </w:pPr>
      <w:r>
        <w:rPr>
          <w:b/>
          <w:sz w:val="24"/>
        </w:rPr>
        <w:t xml:space="preserve">Finalización de la etapa de evaluación: </w:t>
      </w:r>
      <w:r>
        <w:rPr>
          <w:sz w:val="24"/>
        </w:rPr>
        <w:t xml:space="preserve">La </w:t>
      </w:r>
      <w:r>
        <w:rPr>
          <w:sz w:val="24"/>
        </w:rPr>
        <w:t>revista enviará a los correos de los autores una carta comunicando la aceptación de la publicación del artículo en la revista.</w:t>
      </w:r>
    </w:p>
    <w:sectPr w:rsidR="00E76D97">
      <w:pgSz w:w="12240" w:h="15840"/>
      <w:pgMar w:top="7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57" w:rsidRDefault="00070757" w:rsidP="009339AD">
      <w:r>
        <w:separator/>
      </w:r>
    </w:p>
  </w:endnote>
  <w:endnote w:type="continuationSeparator" w:id="0">
    <w:p w:rsidR="00070757" w:rsidRDefault="00070757" w:rsidP="0093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USerif-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MUSansSerif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AD" w:rsidRPr="009339AD" w:rsidRDefault="009339AD" w:rsidP="009339AD">
    <w:pPr>
      <w:pStyle w:val="Piedepgina"/>
      <w:jc w:val="center"/>
      <w:rPr>
        <w:b/>
      </w:rPr>
    </w:pPr>
    <w:r w:rsidRPr="009339AD">
      <w:rPr>
        <w:rFonts w:ascii="CMUSerif-Bold" w:hAnsi="CMUSerif-Bold" w:cs="CMUSerif-Bold"/>
        <w:b/>
        <w:sz w:val="16"/>
        <w:szCs w:val="16"/>
      </w:rPr>
      <w:t>p-ISSN: 2011-4990 • e-ISSN: 2344-8407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57" w:rsidRDefault="00070757" w:rsidP="009339AD">
      <w:r>
        <w:separator/>
      </w:r>
    </w:p>
  </w:footnote>
  <w:footnote w:type="continuationSeparator" w:id="0">
    <w:p w:rsidR="00070757" w:rsidRDefault="00070757" w:rsidP="0093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AD" w:rsidRDefault="009339AD" w:rsidP="009339AD">
    <w:pPr>
      <w:pStyle w:val="Encabezado"/>
      <w:jc w:val="center"/>
      <w:rPr>
        <w:rFonts w:ascii="CMUSerif-Bold" w:hAnsi="CMUSerif-Bold" w:cs="CMUSerif-Bold"/>
        <w:b/>
        <w:bCs/>
        <w:sz w:val="30"/>
        <w:szCs w:val="30"/>
      </w:rPr>
    </w:pPr>
    <w:r>
      <w:rPr>
        <w:rFonts w:ascii="CMUSerif-Bold" w:hAnsi="CMUSerif-Bold" w:cs="CMUSerif-Bold"/>
        <w:b/>
        <w:bCs/>
        <w:noProof/>
        <w:sz w:val="30"/>
        <w:szCs w:val="30"/>
        <w:lang w:val="en-US"/>
      </w:rPr>
      <w:drawing>
        <wp:anchor distT="0" distB="0" distL="114300" distR="114300" simplePos="0" relativeHeight="251660288" behindDoc="1" locked="0" layoutInCell="1" allowOverlap="1" wp14:anchorId="7FED835D" wp14:editId="55D5907F">
          <wp:simplePos x="0" y="0"/>
          <wp:positionH relativeFrom="column">
            <wp:posOffset>-114300</wp:posOffset>
          </wp:positionH>
          <wp:positionV relativeFrom="paragraph">
            <wp:posOffset>-283845</wp:posOffset>
          </wp:positionV>
          <wp:extent cx="934181" cy="914400"/>
          <wp:effectExtent l="0" t="0" r="5715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56" cy="914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MUSerif-Bold" w:hAnsi="CMUSerif-Bold" w:cs="CMUSerif-Bold"/>
        <w:b/>
        <w:bCs/>
        <w:noProof/>
        <w:sz w:val="30"/>
        <w:szCs w:val="30"/>
        <w:lang w:val="en-US"/>
      </w:rPr>
      <w:drawing>
        <wp:anchor distT="0" distB="0" distL="114300" distR="114300" simplePos="0" relativeHeight="251659264" behindDoc="1" locked="0" layoutInCell="1" allowOverlap="1" wp14:anchorId="7D153FC2" wp14:editId="333BFDB3">
          <wp:simplePos x="0" y="0"/>
          <wp:positionH relativeFrom="column">
            <wp:posOffset>4457700</wp:posOffset>
          </wp:positionH>
          <wp:positionV relativeFrom="paragraph">
            <wp:posOffset>-55245</wp:posOffset>
          </wp:positionV>
          <wp:extent cx="1291590" cy="580390"/>
          <wp:effectExtent l="0" t="0" r="381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MUSerif-Bold" w:hAnsi="CMUSerif-Bold" w:cs="CMUSerif-Bold"/>
        <w:b/>
        <w:bCs/>
        <w:sz w:val="30"/>
        <w:szCs w:val="30"/>
      </w:rPr>
      <w:t>REVISTA UD Y LA GEOMÁTICA</w:t>
    </w:r>
    <w:r w:rsidRPr="003A22A1">
      <w:t xml:space="preserve"> </w:t>
    </w:r>
  </w:p>
  <w:p w:rsidR="009339AD" w:rsidRDefault="009339AD" w:rsidP="009339AD">
    <w:pPr>
      <w:pStyle w:val="Encabezado"/>
      <w:jc w:val="center"/>
    </w:pPr>
    <w:r>
      <w:rPr>
        <w:rFonts w:ascii="CMUSansSerif" w:hAnsi="CMUSansSerif" w:cs="CMUSansSerif"/>
        <w:sz w:val="16"/>
        <w:szCs w:val="16"/>
      </w:rPr>
      <w:t>http://revistas.udistrital.edu.co/ojs/index.php/UDGeo/index</w:t>
    </w:r>
  </w:p>
  <w:p w:rsidR="009339AD" w:rsidRPr="009339AD" w:rsidRDefault="009339AD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578BB"/>
    <w:multiLevelType w:val="hybridMultilevel"/>
    <w:tmpl w:val="F68A99FA"/>
    <w:lvl w:ilvl="0" w:tplc="7986762A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A982A1A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B3E87F48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5378915E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43BAB4F6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F028CF20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97CE4D4A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67C2DE8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D0B4180C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97"/>
    <w:rsid w:val="00070757"/>
    <w:rsid w:val="008D49FD"/>
    <w:rsid w:val="009339AD"/>
    <w:rsid w:val="00E7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4686"/>
  <w15:docId w15:val="{1A2292B9-6F76-48E8-ADD3-0A696A5A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3"/>
      <w:ind w:left="98" w:right="10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39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39A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39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9A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Anonimo</cp:lastModifiedBy>
  <cp:revision>2</cp:revision>
  <dcterms:created xsi:type="dcterms:W3CDTF">2020-11-14T20:44:00Z</dcterms:created>
  <dcterms:modified xsi:type="dcterms:W3CDTF">2020-11-14T20:44:00Z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2020-11-14T00:00:00Z</vt:filetime>
  </property>
</Properties>
</file>